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745" w:rsidRPr="004972E3" w:rsidRDefault="004972E3">
      <w:pPr>
        <w:jc w:val="center"/>
        <w:rPr>
          <w:rFonts w:ascii="Arial" w:hAnsi="Arial" w:cs="Arial"/>
          <w:b/>
        </w:rPr>
      </w:pPr>
      <w:r>
        <w:rPr>
          <w:rFonts w:ascii="Arial" w:hAnsi="Arial" w:cs="Arial"/>
          <w:b/>
          <w:noProof/>
          <w:lang w:eastAsia="en-GB"/>
        </w:rPr>
        <w:drawing>
          <wp:anchor distT="0" distB="0" distL="114300" distR="114300" simplePos="0" relativeHeight="251658240" behindDoc="0" locked="0" layoutInCell="1" allowOverlap="1">
            <wp:simplePos x="0" y="0"/>
            <wp:positionH relativeFrom="column">
              <wp:posOffset>4786630</wp:posOffset>
            </wp:positionH>
            <wp:positionV relativeFrom="paragraph">
              <wp:posOffset>-800100</wp:posOffset>
            </wp:positionV>
            <wp:extent cx="1677670" cy="2130425"/>
            <wp:effectExtent l="19050" t="0" r="0" b="0"/>
            <wp:wrapThrough wrapText="bothSides">
              <wp:wrapPolygon edited="0">
                <wp:start x="-245" y="0"/>
                <wp:lineTo x="-245" y="21439"/>
                <wp:lineTo x="21584" y="21439"/>
                <wp:lineTo x="21584" y="0"/>
                <wp:lineTo x="-245" y="0"/>
              </wp:wrapPolygon>
            </wp:wrapThrough>
            <wp:docPr id="1" name="Picture 0" descr="school bad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ol badge.jpg"/>
                    <pic:cNvPicPr/>
                  </pic:nvPicPr>
                  <pic:blipFill>
                    <a:blip r:embed="rId7"/>
                    <a:stretch>
                      <a:fillRect/>
                    </a:stretch>
                  </pic:blipFill>
                  <pic:spPr>
                    <a:xfrm>
                      <a:off x="0" y="0"/>
                      <a:ext cx="1677670" cy="2130425"/>
                    </a:xfrm>
                    <a:prstGeom prst="rect">
                      <a:avLst/>
                    </a:prstGeom>
                  </pic:spPr>
                </pic:pic>
              </a:graphicData>
            </a:graphic>
          </wp:anchor>
        </w:drawing>
      </w:r>
      <w:r w:rsidR="00E6627B" w:rsidRPr="004972E3">
        <w:rPr>
          <w:rFonts w:ascii="Arial" w:hAnsi="Arial" w:cs="Arial"/>
          <w:b/>
        </w:rPr>
        <w:t>St John’s Primary Hamilton</w:t>
      </w:r>
    </w:p>
    <w:p w:rsidR="00544745" w:rsidRDefault="00285FC2" w:rsidP="00285FC2">
      <w:pPr>
        <w:jc w:val="center"/>
        <w:rPr>
          <w:rFonts w:ascii="Arial" w:hAnsi="Arial" w:cs="Arial"/>
          <w:b/>
        </w:rPr>
      </w:pPr>
      <w:r>
        <w:rPr>
          <w:rFonts w:ascii="Arial" w:hAnsi="Arial" w:cs="Arial"/>
          <w:b/>
        </w:rPr>
        <w:t xml:space="preserve">Learning </w:t>
      </w:r>
      <w:proofErr w:type="gramStart"/>
      <w:r>
        <w:rPr>
          <w:rFonts w:ascii="Arial" w:hAnsi="Arial" w:cs="Arial"/>
          <w:b/>
        </w:rPr>
        <w:t>Support</w:t>
      </w:r>
      <w:r w:rsidR="00C75F21" w:rsidRPr="004972E3">
        <w:rPr>
          <w:rFonts w:ascii="Arial" w:hAnsi="Arial" w:cs="Arial"/>
          <w:b/>
        </w:rPr>
        <w:t xml:space="preserve"> </w:t>
      </w:r>
      <w:r w:rsidR="00E6627B" w:rsidRPr="004972E3">
        <w:rPr>
          <w:rFonts w:ascii="Arial" w:hAnsi="Arial" w:cs="Arial"/>
          <w:b/>
        </w:rPr>
        <w:t xml:space="preserve"> Policy</w:t>
      </w:r>
      <w:proofErr w:type="gramEnd"/>
    </w:p>
    <w:p w:rsidR="00291B91" w:rsidRDefault="00291B91">
      <w:pPr>
        <w:rPr>
          <w:rFonts w:ascii="Arial" w:hAnsi="Arial" w:cs="Arial"/>
          <w:b/>
        </w:rPr>
      </w:pPr>
    </w:p>
    <w:p w:rsidR="00285FC2" w:rsidRPr="00285FC2" w:rsidRDefault="00285FC2" w:rsidP="00285FC2">
      <w:pPr>
        <w:suppressAutoHyphens w:val="0"/>
        <w:autoSpaceDE w:val="0"/>
        <w:adjustRightInd w:val="0"/>
        <w:spacing w:after="0" w:line="480" w:lineRule="auto"/>
        <w:textAlignment w:val="auto"/>
        <w:rPr>
          <w:rFonts w:ascii="Arial" w:hAnsi="Arial" w:cs="Arial"/>
          <w:color w:val="000000"/>
        </w:rPr>
      </w:pPr>
      <w:r>
        <w:rPr>
          <w:rFonts w:ascii="Arial" w:hAnsi="Arial" w:cs="Arial"/>
          <w:color w:val="000000"/>
        </w:rPr>
        <w:t>“</w:t>
      </w:r>
      <w:r w:rsidRPr="00285FC2">
        <w:rPr>
          <w:rFonts w:ascii="Arial" w:hAnsi="Arial" w:cs="Arial"/>
          <w:color w:val="000000"/>
        </w:rPr>
        <w:t xml:space="preserve">Personalised learning means </w:t>
      </w:r>
      <w:r w:rsidRPr="00285FC2">
        <w:rPr>
          <w:rFonts w:ascii="Arial" w:hAnsi="Arial" w:cs="Arial"/>
          <w:b/>
          <w:bCs/>
          <w:color w:val="000000"/>
        </w:rPr>
        <w:t xml:space="preserve">tailoring learning and teaching </w:t>
      </w:r>
      <w:r w:rsidRPr="00285FC2">
        <w:rPr>
          <w:rFonts w:ascii="Arial" w:hAnsi="Arial" w:cs="Arial"/>
          <w:color w:val="000000"/>
        </w:rPr>
        <w:t xml:space="preserve">to learners’ needs. Staff do this by </w:t>
      </w:r>
      <w:r w:rsidRPr="00285FC2">
        <w:rPr>
          <w:rFonts w:ascii="Arial" w:hAnsi="Arial" w:cs="Arial"/>
          <w:b/>
          <w:bCs/>
          <w:color w:val="000000"/>
        </w:rPr>
        <w:t>knowing learners well and</w:t>
      </w:r>
      <w:r w:rsidRPr="00285FC2">
        <w:rPr>
          <w:rFonts w:ascii="Arial" w:hAnsi="Arial" w:cs="Arial"/>
          <w:color w:val="000000"/>
        </w:rPr>
        <w:t xml:space="preserve"> </w:t>
      </w:r>
      <w:r w:rsidRPr="00285FC2">
        <w:rPr>
          <w:rFonts w:ascii="Arial" w:hAnsi="Arial" w:cs="Arial"/>
          <w:b/>
          <w:bCs/>
          <w:color w:val="000000"/>
        </w:rPr>
        <w:t xml:space="preserve">building on prior learning </w:t>
      </w:r>
      <w:r w:rsidRPr="00285FC2">
        <w:rPr>
          <w:rFonts w:ascii="Arial" w:hAnsi="Arial" w:cs="Arial"/>
          <w:color w:val="000000"/>
        </w:rPr>
        <w:t xml:space="preserve">so that all learners can participate, progress and achieve. Personalised learning focuses on the individual learner from the earliest level through to lifelong learning. It is key to taking forward the ambitions of </w:t>
      </w:r>
      <w:proofErr w:type="spellStart"/>
      <w:r w:rsidRPr="00285FC2">
        <w:rPr>
          <w:rFonts w:ascii="Arial" w:hAnsi="Arial" w:cs="Arial"/>
          <w:color w:val="000000"/>
        </w:rPr>
        <w:t>CfE</w:t>
      </w:r>
      <w:proofErr w:type="spellEnd"/>
      <w:r w:rsidRPr="00285FC2">
        <w:rPr>
          <w:rFonts w:ascii="Arial" w:hAnsi="Arial" w:cs="Arial"/>
          <w:color w:val="000000"/>
        </w:rPr>
        <w:t xml:space="preserve"> and Getting it Right for Every Child (GIRFEC</w:t>
      </w:r>
      <w:proofErr w:type="gramStart"/>
      <w:r w:rsidRPr="00285FC2">
        <w:rPr>
          <w:rFonts w:ascii="Arial" w:hAnsi="Arial" w:cs="Arial"/>
          <w:color w:val="000000"/>
        </w:rPr>
        <w:t>)1</w:t>
      </w:r>
      <w:proofErr w:type="gramEnd"/>
      <w:r w:rsidRPr="00285FC2">
        <w:rPr>
          <w:rFonts w:ascii="Arial" w:hAnsi="Arial" w:cs="Arial"/>
          <w:color w:val="000000"/>
        </w:rPr>
        <w:t>. It represents best practice in learning and teaching and includes:</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proofErr w:type="gramStart"/>
      <w:r w:rsidRPr="00285FC2">
        <w:rPr>
          <w:rFonts w:ascii="Arial" w:hAnsi="Arial" w:cs="Arial"/>
          <w:color w:val="000000"/>
        </w:rPr>
        <w:t>recognition</w:t>
      </w:r>
      <w:proofErr w:type="gramEnd"/>
      <w:r w:rsidRPr="00285FC2">
        <w:rPr>
          <w:rFonts w:ascii="Arial" w:hAnsi="Arial" w:cs="Arial"/>
          <w:color w:val="000000"/>
        </w:rPr>
        <w:t xml:space="preserve"> that all learning</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matters</w:t>
      </w:r>
      <w:proofErr w:type="gramEnd"/>
      <w:r w:rsidRPr="00285FC2">
        <w:rPr>
          <w:rFonts w:ascii="Arial" w:hAnsi="Arial" w:cs="Arial"/>
          <w:color w:val="000000"/>
        </w:rPr>
        <w:t>;</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proofErr w:type="gramStart"/>
      <w:r w:rsidRPr="00285FC2">
        <w:rPr>
          <w:rFonts w:ascii="Arial" w:hAnsi="Arial" w:cs="Arial"/>
          <w:color w:val="000000"/>
        </w:rPr>
        <w:t>building</w:t>
      </w:r>
      <w:proofErr w:type="gramEnd"/>
      <w:r w:rsidRPr="00285FC2">
        <w:rPr>
          <w:rFonts w:ascii="Arial" w:hAnsi="Arial" w:cs="Arial"/>
          <w:color w:val="000000"/>
        </w:rPr>
        <w:t xml:space="preserve"> on prior learning;</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r w:rsidRPr="00285FC2">
        <w:rPr>
          <w:rFonts w:ascii="Arial" w:hAnsi="Arial" w:cs="Arial"/>
          <w:color w:val="000000"/>
        </w:rPr>
        <w:t>learning that actively involves</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learners</w:t>
      </w:r>
      <w:proofErr w:type="gramEnd"/>
      <w:r w:rsidRPr="00285FC2">
        <w:rPr>
          <w:rFonts w:ascii="Arial" w:hAnsi="Arial" w:cs="Arial"/>
          <w:color w:val="000000"/>
        </w:rPr>
        <w:t>;</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proofErr w:type="gramStart"/>
      <w:r w:rsidRPr="00285FC2">
        <w:rPr>
          <w:rFonts w:ascii="Arial" w:hAnsi="Arial" w:cs="Arial"/>
          <w:color w:val="000000"/>
        </w:rPr>
        <w:t>engaging</w:t>
      </w:r>
      <w:proofErr w:type="gramEnd"/>
      <w:r w:rsidRPr="00285FC2">
        <w:rPr>
          <w:rFonts w:ascii="Arial" w:hAnsi="Arial" w:cs="Arial"/>
          <w:color w:val="000000"/>
        </w:rPr>
        <w:t xml:space="preserve"> and enterprising</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learning</w:t>
      </w:r>
      <w:proofErr w:type="gramEnd"/>
      <w:r w:rsidRPr="00285FC2">
        <w:rPr>
          <w:rFonts w:ascii="Arial" w:hAnsi="Arial" w:cs="Arial"/>
          <w:color w:val="000000"/>
        </w:rPr>
        <w:t>;</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r w:rsidRPr="00285FC2">
        <w:rPr>
          <w:rFonts w:ascii="Arial" w:hAnsi="Arial" w:cs="Arial"/>
          <w:color w:val="000000"/>
        </w:rPr>
        <w:t>ensuring a variety of contexts for</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learning</w:t>
      </w:r>
      <w:proofErr w:type="gramEnd"/>
      <w:r w:rsidRPr="00285FC2">
        <w:rPr>
          <w:rFonts w:ascii="Arial" w:hAnsi="Arial" w:cs="Arial"/>
          <w:color w:val="000000"/>
        </w:rPr>
        <w:t>;</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r w:rsidRPr="00285FC2">
        <w:rPr>
          <w:rFonts w:ascii="Arial" w:hAnsi="Arial" w:cs="Arial"/>
          <w:color w:val="000000"/>
        </w:rPr>
        <w:t>involving learners in planning and</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being</w:t>
      </w:r>
      <w:proofErr w:type="gramEnd"/>
      <w:r w:rsidRPr="00285FC2">
        <w:rPr>
          <w:rFonts w:ascii="Arial" w:hAnsi="Arial" w:cs="Arial"/>
          <w:color w:val="000000"/>
        </w:rPr>
        <w:t xml:space="preserve"> responsive to their needs</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and</w:t>
      </w:r>
      <w:proofErr w:type="gramEnd"/>
      <w:r w:rsidRPr="00285FC2">
        <w:rPr>
          <w:rFonts w:ascii="Arial" w:hAnsi="Arial" w:cs="Arial"/>
          <w:color w:val="000000"/>
        </w:rPr>
        <w:t xml:space="preserve"> interests; and</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r w:rsidRPr="00285FC2">
        <w:rPr>
          <w:rFonts w:ascii="Arial" w:hAnsi="Arial" w:cs="Arial"/>
          <w:color w:val="2ED276"/>
        </w:rPr>
        <w:t xml:space="preserve">• </w:t>
      </w:r>
      <w:r w:rsidRPr="00285FC2">
        <w:rPr>
          <w:rFonts w:ascii="Arial" w:hAnsi="Arial" w:cs="Arial"/>
          <w:color w:val="000000"/>
        </w:rPr>
        <w:t>experiences where learners</w:t>
      </w:r>
    </w:p>
    <w:p w:rsidR="00285FC2" w:rsidRPr="00285FC2" w:rsidRDefault="00285FC2" w:rsidP="00285FC2">
      <w:pPr>
        <w:suppressAutoHyphens w:val="0"/>
        <w:autoSpaceDE w:val="0"/>
        <w:adjustRightInd w:val="0"/>
        <w:spacing w:after="0" w:line="240" w:lineRule="auto"/>
        <w:textAlignment w:val="auto"/>
        <w:rPr>
          <w:rFonts w:ascii="Arial" w:hAnsi="Arial" w:cs="Arial"/>
          <w:color w:val="000000"/>
        </w:rPr>
      </w:pPr>
      <w:proofErr w:type="gramStart"/>
      <w:r w:rsidRPr="00285FC2">
        <w:rPr>
          <w:rFonts w:ascii="Arial" w:hAnsi="Arial" w:cs="Arial"/>
          <w:color w:val="000000"/>
        </w:rPr>
        <w:t>benefit</w:t>
      </w:r>
      <w:proofErr w:type="gramEnd"/>
      <w:r w:rsidRPr="00285FC2">
        <w:rPr>
          <w:rFonts w:ascii="Arial" w:hAnsi="Arial" w:cs="Arial"/>
          <w:color w:val="000000"/>
        </w:rPr>
        <w:t xml:space="preserve"> from assessment that is</w:t>
      </w:r>
    </w:p>
    <w:p w:rsidR="00291B91" w:rsidRDefault="00285FC2" w:rsidP="00285FC2">
      <w:pPr>
        <w:rPr>
          <w:rFonts w:ascii="Arial" w:hAnsi="Arial" w:cs="Arial"/>
          <w:color w:val="000000"/>
        </w:rPr>
      </w:pPr>
      <w:proofErr w:type="gramStart"/>
      <w:r w:rsidRPr="00285FC2">
        <w:rPr>
          <w:rFonts w:ascii="Arial" w:hAnsi="Arial" w:cs="Arial"/>
          <w:color w:val="000000"/>
        </w:rPr>
        <w:t>integral</w:t>
      </w:r>
      <w:proofErr w:type="gramEnd"/>
      <w:r w:rsidRPr="00285FC2">
        <w:rPr>
          <w:rFonts w:ascii="Arial" w:hAnsi="Arial" w:cs="Arial"/>
          <w:color w:val="000000"/>
        </w:rPr>
        <w:t xml:space="preserve"> to and informs learning.</w:t>
      </w:r>
      <w:r>
        <w:rPr>
          <w:rFonts w:ascii="Arial" w:hAnsi="Arial" w:cs="Arial"/>
          <w:color w:val="000000"/>
        </w:rPr>
        <w:t xml:space="preserve">” </w:t>
      </w:r>
      <w:proofErr w:type="spellStart"/>
      <w:r>
        <w:rPr>
          <w:rFonts w:ascii="Arial" w:hAnsi="Arial" w:cs="Arial"/>
          <w:color w:val="000000"/>
        </w:rPr>
        <w:t>CfE</w:t>
      </w:r>
      <w:proofErr w:type="spellEnd"/>
      <w:r>
        <w:rPr>
          <w:rFonts w:ascii="Arial" w:hAnsi="Arial" w:cs="Arial"/>
          <w:color w:val="000000"/>
        </w:rPr>
        <w:t xml:space="preserve"> Briefing Paper 5, November 2012</w:t>
      </w:r>
    </w:p>
    <w:p w:rsidR="00285FC2" w:rsidRDefault="00285FC2" w:rsidP="00285FC2">
      <w:pPr>
        <w:rPr>
          <w:rFonts w:ascii="Arial" w:hAnsi="Arial" w:cs="Arial"/>
          <w:color w:val="000000"/>
        </w:rPr>
      </w:pPr>
    </w:p>
    <w:p w:rsidR="00285FC2" w:rsidRDefault="00285FC2" w:rsidP="00285FC2">
      <w:pPr>
        <w:rPr>
          <w:rFonts w:ascii="Arial" w:hAnsi="Arial" w:cs="Arial"/>
          <w:color w:val="000000"/>
        </w:rPr>
      </w:pPr>
      <w:r>
        <w:rPr>
          <w:rFonts w:ascii="Arial" w:hAnsi="Arial" w:cs="Arial"/>
          <w:color w:val="000000"/>
        </w:rPr>
        <w:t xml:space="preserve">At St John’s we have a structured pathway to support learning to ensure that all children </w:t>
      </w:r>
      <w:proofErr w:type="gramStart"/>
      <w:r>
        <w:rPr>
          <w:rFonts w:ascii="Arial" w:hAnsi="Arial" w:cs="Arial"/>
          <w:color w:val="000000"/>
        </w:rPr>
        <w:t>receive</w:t>
      </w:r>
      <w:proofErr w:type="gramEnd"/>
      <w:r>
        <w:rPr>
          <w:rFonts w:ascii="Arial" w:hAnsi="Arial" w:cs="Arial"/>
          <w:color w:val="000000"/>
        </w:rPr>
        <w:t xml:space="preserve"> the </w:t>
      </w:r>
      <w:r w:rsidR="00463455">
        <w:rPr>
          <w:rFonts w:ascii="Arial" w:hAnsi="Arial" w:cs="Arial"/>
          <w:color w:val="000000"/>
        </w:rPr>
        <w:t>most appropriate support in the most sensitive manner and timely approach.</w:t>
      </w:r>
    </w:p>
    <w:p w:rsidR="00463455" w:rsidRDefault="00463455" w:rsidP="00285FC2">
      <w:pPr>
        <w:rPr>
          <w:rFonts w:ascii="Arial" w:hAnsi="Arial" w:cs="Arial"/>
          <w:color w:val="000000"/>
        </w:rPr>
      </w:pPr>
    </w:p>
    <w:p w:rsidR="00463455" w:rsidRDefault="00463455" w:rsidP="00285FC2">
      <w:pPr>
        <w:rPr>
          <w:rFonts w:ascii="Arial" w:hAnsi="Arial" w:cs="Arial"/>
          <w:color w:val="000000"/>
        </w:rPr>
      </w:pPr>
      <w:r>
        <w:rPr>
          <w:rFonts w:ascii="Arial" w:hAnsi="Arial" w:cs="Arial"/>
          <w:color w:val="000000"/>
        </w:rPr>
        <w:t>Support can mean a variety of different approaches depending on children’s’ needs.</w:t>
      </w:r>
    </w:p>
    <w:p w:rsidR="00463455" w:rsidRDefault="00463455" w:rsidP="00285FC2">
      <w:pPr>
        <w:rPr>
          <w:rFonts w:ascii="Arial" w:hAnsi="Arial" w:cs="Arial"/>
          <w:color w:val="000000"/>
        </w:rPr>
      </w:pPr>
    </w:p>
    <w:p w:rsidR="00463455" w:rsidRDefault="00463455" w:rsidP="00285FC2">
      <w:pPr>
        <w:rPr>
          <w:rFonts w:ascii="Arial" w:hAnsi="Arial" w:cs="Arial"/>
          <w:color w:val="000000"/>
        </w:rPr>
      </w:pPr>
      <w:r>
        <w:rPr>
          <w:rFonts w:ascii="Arial" w:hAnsi="Arial" w:cs="Arial"/>
          <w:color w:val="000000"/>
        </w:rPr>
        <w:t>Classroom;</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t>Differentiated programme or resources</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t>Differentiated teaching approach</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t>Use of classroom assistant</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t>Target setting</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t>Over learning</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lastRenderedPageBreak/>
        <w:t>Reading buddy/ peer mentor</w:t>
      </w:r>
    </w:p>
    <w:p w:rsidR="00463455" w:rsidRPr="005C7D98" w:rsidRDefault="00463455" w:rsidP="005C7D98">
      <w:pPr>
        <w:pStyle w:val="ListParagraph"/>
        <w:numPr>
          <w:ilvl w:val="0"/>
          <w:numId w:val="4"/>
        </w:numPr>
        <w:rPr>
          <w:rFonts w:ascii="Arial" w:hAnsi="Arial" w:cs="Arial"/>
          <w:color w:val="000000"/>
        </w:rPr>
      </w:pPr>
      <w:r w:rsidRPr="005C7D98">
        <w:rPr>
          <w:rFonts w:ascii="Arial" w:hAnsi="Arial" w:cs="Arial"/>
          <w:color w:val="000000"/>
        </w:rPr>
        <w:t>Groupings to help all progress</w:t>
      </w:r>
    </w:p>
    <w:p w:rsidR="00463455" w:rsidRDefault="00463455" w:rsidP="00285FC2">
      <w:pPr>
        <w:rPr>
          <w:rFonts w:ascii="Arial" w:hAnsi="Arial" w:cs="Arial"/>
          <w:color w:val="000000"/>
        </w:rPr>
      </w:pPr>
    </w:p>
    <w:p w:rsidR="00463455" w:rsidRDefault="00463455" w:rsidP="00285FC2">
      <w:pPr>
        <w:rPr>
          <w:rFonts w:ascii="Arial" w:hAnsi="Arial" w:cs="Arial"/>
          <w:color w:val="000000"/>
        </w:rPr>
      </w:pPr>
      <w:r>
        <w:rPr>
          <w:rFonts w:ascii="Arial" w:hAnsi="Arial" w:cs="Arial"/>
          <w:color w:val="000000"/>
        </w:rPr>
        <w:t>Out of class</w:t>
      </w:r>
    </w:p>
    <w:p w:rsidR="00463455" w:rsidRPr="005C7D98" w:rsidRDefault="00463455" w:rsidP="005C7D98">
      <w:pPr>
        <w:pStyle w:val="ListParagraph"/>
        <w:numPr>
          <w:ilvl w:val="0"/>
          <w:numId w:val="5"/>
        </w:numPr>
        <w:rPr>
          <w:rFonts w:ascii="Arial" w:hAnsi="Arial" w:cs="Arial"/>
          <w:color w:val="000000"/>
        </w:rPr>
      </w:pPr>
      <w:r w:rsidRPr="005C7D98">
        <w:rPr>
          <w:rFonts w:ascii="Arial" w:hAnsi="Arial" w:cs="Arial"/>
          <w:color w:val="000000"/>
        </w:rPr>
        <w:t>Support in a group or 1:1 with teacher or support assistant</w:t>
      </w:r>
    </w:p>
    <w:p w:rsidR="00463455" w:rsidRPr="005C7D98" w:rsidRDefault="00463455" w:rsidP="005C7D98">
      <w:pPr>
        <w:pStyle w:val="ListParagraph"/>
        <w:numPr>
          <w:ilvl w:val="0"/>
          <w:numId w:val="5"/>
        </w:numPr>
        <w:rPr>
          <w:rFonts w:ascii="Arial" w:hAnsi="Arial" w:cs="Arial"/>
          <w:color w:val="000000"/>
        </w:rPr>
      </w:pPr>
      <w:r w:rsidRPr="005C7D98">
        <w:rPr>
          <w:rFonts w:ascii="Arial" w:hAnsi="Arial" w:cs="Arial"/>
          <w:color w:val="000000"/>
        </w:rPr>
        <w:t xml:space="preserve">Variety of 1:1 resources- 5 minute box, code cracker, toe by toe, hornets, word wasp, power of two </w:t>
      </w:r>
      <w:proofErr w:type="spellStart"/>
      <w:r w:rsidRPr="005C7D98">
        <w:rPr>
          <w:rFonts w:ascii="Arial" w:hAnsi="Arial" w:cs="Arial"/>
          <w:color w:val="000000"/>
        </w:rPr>
        <w:t>etc</w:t>
      </w:r>
      <w:proofErr w:type="spellEnd"/>
    </w:p>
    <w:p w:rsidR="00463455" w:rsidRPr="005C7D98" w:rsidRDefault="00463455" w:rsidP="005C7D98">
      <w:pPr>
        <w:pStyle w:val="ListParagraph"/>
        <w:numPr>
          <w:ilvl w:val="0"/>
          <w:numId w:val="5"/>
        </w:numPr>
        <w:rPr>
          <w:rFonts w:ascii="Arial" w:hAnsi="Arial" w:cs="Arial"/>
          <w:color w:val="000000"/>
        </w:rPr>
      </w:pPr>
      <w:r w:rsidRPr="005C7D98">
        <w:rPr>
          <w:rFonts w:ascii="Arial" w:hAnsi="Arial" w:cs="Arial"/>
          <w:color w:val="000000"/>
        </w:rPr>
        <w:t>Learning support teacher</w:t>
      </w:r>
    </w:p>
    <w:p w:rsidR="00463455" w:rsidRDefault="00463455" w:rsidP="00285FC2">
      <w:pPr>
        <w:rPr>
          <w:rFonts w:ascii="Arial" w:hAnsi="Arial" w:cs="Arial"/>
          <w:color w:val="000000"/>
        </w:rPr>
      </w:pPr>
    </w:p>
    <w:p w:rsidR="00463455" w:rsidRDefault="00463455" w:rsidP="00285FC2">
      <w:pPr>
        <w:rPr>
          <w:rFonts w:ascii="Arial" w:hAnsi="Arial" w:cs="Arial"/>
          <w:color w:val="000000"/>
        </w:rPr>
      </w:pPr>
      <w:r>
        <w:rPr>
          <w:rFonts w:ascii="Arial" w:hAnsi="Arial" w:cs="Arial"/>
          <w:color w:val="000000"/>
        </w:rPr>
        <w:t>Outside agencies</w:t>
      </w:r>
    </w:p>
    <w:p w:rsidR="00463455" w:rsidRDefault="00463455" w:rsidP="00285FC2">
      <w:pPr>
        <w:rPr>
          <w:rFonts w:ascii="Arial" w:hAnsi="Arial" w:cs="Arial"/>
          <w:color w:val="000000"/>
        </w:rPr>
      </w:pPr>
    </w:p>
    <w:p w:rsidR="00463455" w:rsidRPr="005C7D98" w:rsidRDefault="00463455" w:rsidP="005C7D98">
      <w:pPr>
        <w:pStyle w:val="ListParagraph"/>
        <w:numPr>
          <w:ilvl w:val="0"/>
          <w:numId w:val="6"/>
        </w:numPr>
        <w:rPr>
          <w:rFonts w:ascii="Arial" w:hAnsi="Arial" w:cs="Arial"/>
          <w:color w:val="000000"/>
        </w:rPr>
      </w:pPr>
      <w:r w:rsidRPr="005C7D98">
        <w:rPr>
          <w:rFonts w:ascii="Arial" w:hAnsi="Arial" w:cs="Arial"/>
          <w:color w:val="000000"/>
        </w:rPr>
        <w:t>Educational Psychologist</w:t>
      </w:r>
    </w:p>
    <w:p w:rsidR="00463455" w:rsidRPr="005C7D98" w:rsidRDefault="00463455" w:rsidP="005C7D98">
      <w:pPr>
        <w:pStyle w:val="ListParagraph"/>
        <w:numPr>
          <w:ilvl w:val="0"/>
          <w:numId w:val="6"/>
        </w:numPr>
        <w:rPr>
          <w:rFonts w:ascii="Arial" w:hAnsi="Arial" w:cs="Arial"/>
          <w:color w:val="000000"/>
        </w:rPr>
      </w:pPr>
      <w:r w:rsidRPr="005C7D98">
        <w:rPr>
          <w:rFonts w:ascii="Arial" w:hAnsi="Arial" w:cs="Arial"/>
          <w:color w:val="000000"/>
        </w:rPr>
        <w:t>Speech and Language Therapist</w:t>
      </w:r>
    </w:p>
    <w:p w:rsidR="00463455" w:rsidRPr="005C7D98" w:rsidRDefault="00463455" w:rsidP="005C7D98">
      <w:pPr>
        <w:pStyle w:val="ListParagraph"/>
        <w:numPr>
          <w:ilvl w:val="0"/>
          <w:numId w:val="6"/>
        </w:numPr>
        <w:rPr>
          <w:rFonts w:ascii="Arial" w:hAnsi="Arial" w:cs="Arial"/>
          <w:color w:val="000000"/>
        </w:rPr>
      </w:pPr>
      <w:r w:rsidRPr="005C7D98">
        <w:rPr>
          <w:rFonts w:ascii="Arial" w:hAnsi="Arial" w:cs="Arial"/>
          <w:color w:val="000000"/>
        </w:rPr>
        <w:t>Occupational Therapist</w:t>
      </w:r>
    </w:p>
    <w:p w:rsidR="00463455" w:rsidRPr="005C7D98" w:rsidRDefault="00463455" w:rsidP="005C7D98">
      <w:pPr>
        <w:pStyle w:val="ListParagraph"/>
        <w:numPr>
          <w:ilvl w:val="0"/>
          <w:numId w:val="6"/>
        </w:numPr>
        <w:rPr>
          <w:rFonts w:ascii="Arial" w:hAnsi="Arial" w:cs="Arial"/>
          <w:color w:val="000000"/>
        </w:rPr>
      </w:pPr>
      <w:r w:rsidRPr="005C7D98">
        <w:rPr>
          <w:rFonts w:ascii="Arial" w:hAnsi="Arial" w:cs="Arial"/>
          <w:color w:val="000000"/>
        </w:rPr>
        <w:t>Social Work</w:t>
      </w:r>
    </w:p>
    <w:p w:rsidR="00463455" w:rsidRPr="005C7D98" w:rsidRDefault="00463455" w:rsidP="005C7D98">
      <w:pPr>
        <w:pStyle w:val="ListParagraph"/>
        <w:numPr>
          <w:ilvl w:val="0"/>
          <w:numId w:val="6"/>
        </w:numPr>
        <w:rPr>
          <w:rFonts w:ascii="Arial" w:hAnsi="Arial" w:cs="Arial"/>
          <w:color w:val="000000"/>
        </w:rPr>
      </w:pPr>
      <w:r w:rsidRPr="005C7D98">
        <w:rPr>
          <w:rFonts w:ascii="Arial" w:hAnsi="Arial" w:cs="Arial"/>
          <w:color w:val="000000"/>
        </w:rPr>
        <w:t>Family Support Workers</w:t>
      </w:r>
    </w:p>
    <w:p w:rsidR="00463455" w:rsidRDefault="00463455" w:rsidP="00285FC2">
      <w:pPr>
        <w:rPr>
          <w:rFonts w:ascii="Arial" w:hAnsi="Arial" w:cs="Arial"/>
          <w:color w:val="000000"/>
        </w:rPr>
      </w:pPr>
    </w:p>
    <w:p w:rsidR="00463455" w:rsidRDefault="00463455" w:rsidP="00285FC2">
      <w:pPr>
        <w:rPr>
          <w:rFonts w:ascii="Arial" w:hAnsi="Arial" w:cs="Arial"/>
          <w:color w:val="000000"/>
        </w:rPr>
      </w:pPr>
      <w:r>
        <w:rPr>
          <w:rFonts w:ascii="Arial" w:hAnsi="Arial" w:cs="Arial"/>
          <w:color w:val="000000"/>
        </w:rPr>
        <w:t>This is not an exhaustive list but illustrates some of the interventions that can be used in school and or at home.</w:t>
      </w:r>
    </w:p>
    <w:p w:rsidR="00463455" w:rsidRDefault="00463455" w:rsidP="00285FC2">
      <w:pPr>
        <w:rPr>
          <w:rFonts w:ascii="Arial" w:hAnsi="Arial" w:cs="Arial"/>
          <w:color w:val="000000"/>
        </w:rPr>
      </w:pPr>
    </w:p>
    <w:p w:rsidR="00463455" w:rsidRDefault="00463455" w:rsidP="00285FC2">
      <w:pPr>
        <w:rPr>
          <w:rFonts w:ascii="Arial" w:hAnsi="Arial" w:cs="Arial"/>
          <w:color w:val="000000"/>
        </w:rPr>
      </w:pPr>
      <w:r>
        <w:rPr>
          <w:rFonts w:ascii="Arial" w:hAnsi="Arial" w:cs="Arial"/>
          <w:color w:val="000000"/>
        </w:rPr>
        <w:t>When a teacher has a concern it must first be raised with the Senior Leadership Team by forward plan dialogue and then completing a learning support referral form.</w:t>
      </w:r>
    </w:p>
    <w:p w:rsidR="00463455" w:rsidRDefault="00463455" w:rsidP="00285FC2">
      <w:pPr>
        <w:rPr>
          <w:rFonts w:ascii="Arial" w:hAnsi="Arial" w:cs="Arial"/>
          <w:color w:val="000000"/>
        </w:rPr>
      </w:pPr>
      <w:r>
        <w:rPr>
          <w:rFonts w:ascii="Arial" w:hAnsi="Arial" w:cs="Arial"/>
          <w:color w:val="000000"/>
        </w:rPr>
        <w:t>The Senior Leadership Team in dialogue with teachers, parents and children will make a plan to help the child depending on age and level of previous interventions.</w:t>
      </w:r>
    </w:p>
    <w:p w:rsidR="00463455" w:rsidRDefault="004254E7" w:rsidP="00285FC2">
      <w:pPr>
        <w:rPr>
          <w:rFonts w:ascii="Arial" w:hAnsi="Arial" w:cs="Arial"/>
          <w:color w:val="000000"/>
        </w:rPr>
      </w:pPr>
      <w:r>
        <w:rPr>
          <w:rFonts w:ascii="Arial" w:hAnsi="Arial" w:cs="Arial"/>
          <w:color w:val="000000"/>
        </w:rPr>
        <w:t>The intervention to support the child’s learning could take the form of any of the above mentioned strategies and last for a measurable time period. The intervention will be reviewed at the end of the teaching block to assess if the desired impact has improved the child’s learning.</w:t>
      </w:r>
    </w:p>
    <w:p w:rsidR="004254E7" w:rsidRDefault="004254E7" w:rsidP="00285FC2">
      <w:pPr>
        <w:rPr>
          <w:rFonts w:ascii="Arial" w:hAnsi="Arial" w:cs="Arial"/>
          <w:color w:val="000000"/>
        </w:rPr>
      </w:pPr>
      <w:r>
        <w:rPr>
          <w:rFonts w:ascii="Arial" w:hAnsi="Arial" w:cs="Arial"/>
          <w:color w:val="000000"/>
        </w:rPr>
        <w:t>Parents and children are regularly updated through phone calls, review meetings, parent’s meetings and formal report cards.</w:t>
      </w:r>
    </w:p>
    <w:p w:rsidR="004254E7" w:rsidRDefault="004254E7" w:rsidP="00285FC2">
      <w:pPr>
        <w:rPr>
          <w:rFonts w:ascii="Arial" w:hAnsi="Arial" w:cs="Arial"/>
          <w:color w:val="000000"/>
        </w:rPr>
      </w:pPr>
      <w:r>
        <w:rPr>
          <w:rFonts w:ascii="Arial" w:hAnsi="Arial" w:cs="Arial"/>
          <w:color w:val="000000"/>
        </w:rPr>
        <w:t xml:space="preserve">When a child </w:t>
      </w:r>
      <w:r w:rsidR="00CE66F6">
        <w:rPr>
          <w:rFonts w:ascii="Arial" w:hAnsi="Arial" w:cs="Arial"/>
          <w:color w:val="000000"/>
        </w:rPr>
        <w:t>receives support it is recorded on the tracking and monitoring sheets.</w:t>
      </w:r>
    </w:p>
    <w:p w:rsidR="00CE66F6" w:rsidRDefault="00CE66F6" w:rsidP="00285FC2">
      <w:pPr>
        <w:rPr>
          <w:rFonts w:ascii="Arial" w:hAnsi="Arial" w:cs="Arial"/>
          <w:color w:val="000000"/>
        </w:rPr>
      </w:pPr>
    </w:p>
    <w:p w:rsidR="00463455" w:rsidRDefault="00463455" w:rsidP="00285FC2">
      <w:pPr>
        <w:rPr>
          <w:rFonts w:ascii="Arial" w:hAnsi="Arial" w:cs="Arial"/>
          <w:color w:val="000000"/>
        </w:rPr>
      </w:pPr>
    </w:p>
    <w:p w:rsidR="00285FC2" w:rsidRDefault="00285FC2" w:rsidP="00285FC2">
      <w:pPr>
        <w:rPr>
          <w:rFonts w:ascii="Arial" w:hAnsi="Arial" w:cs="Arial"/>
          <w:color w:val="000000"/>
        </w:rPr>
      </w:pPr>
      <w:bookmarkStart w:id="0" w:name="_GoBack"/>
      <w:bookmarkEnd w:id="0"/>
    </w:p>
    <w:p w:rsidR="00285FC2" w:rsidRDefault="00285FC2" w:rsidP="00285FC2">
      <w:pPr>
        <w:rPr>
          <w:rFonts w:ascii="Arial" w:hAnsi="Arial" w:cs="Arial"/>
          <w:color w:val="000000"/>
        </w:rPr>
      </w:pPr>
    </w:p>
    <w:p w:rsidR="00285FC2" w:rsidRDefault="00285FC2" w:rsidP="00285FC2">
      <w:pPr>
        <w:rPr>
          <w:rFonts w:ascii="Arial" w:hAnsi="Arial" w:cs="Arial"/>
          <w:color w:val="000000"/>
        </w:rPr>
      </w:pPr>
    </w:p>
    <w:p w:rsidR="00285FC2" w:rsidRPr="00285FC2" w:rsidRDefault="00285FC2" w:rsidP="00285FC2">
      <w:pPr>
        <w:rPr>
          <w:rFonts w:ascii="Arial" w:hAnsi="Arial" w:cs="Arial"/>
        </w:rPr>
      </w:pPr>
    </w:p>
    <w:sectPr w:rsidR="00285FC2" w:rsidRPr="00285FC2" w:rsidSect="00FE3540">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972E3" w:rsidRDefault="004972E3">
      <w:pPr>
        <w:spacing w:after="0" w:line="240" w:lineRule="auto"/>
      </w:pPr>
      <w:r>
        <w:separator/>
      </w:r>
    </w:p>
  </w:endnote>
  <w:endnote w:type="continuationSeparator" w:id="0">
    <w:p w:rsidR="004972E3" w:rsidRDefault="004972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36297118"/>
      <w:docPartObj>
        <w:docPartGallery w:val="Page Numbers (Bottom of Page)"/>
        <w:docPartUnique/>
      </w:docPartObj>
    </w:sdtPr>
    <w:sdtEndPr>
      <w:rPr>
        <w:noProof/>
      </w:rPr>
    </w:sdtEndPr>
    <w:sdtContent>
      <w:p w:rsidR="005C7D98" w:rsidRDefault="005C7D98">
        <w:pPr>
          <w:pStyle w:val="Footer"/>
        </w:pPr>
        <w:r>
          <w:fldChar w:fldCharType="begin"/>
        </w:r>
        <w:r>
          <w:instrText xml:space="preserve"> PAGE   \* MERGEFORMAT </w:instrText>
        </w:r>
        <w:r>
          <w:fldChar w:fldCharType="separate"/>
        </w:r>
        <w:r>
          <w:rPr>
            <w:noProof/>
          </w:rPr>
          <w:t>2</w:t>
        </w:r>
        <w:r>
          <w:rPr>
            <w:noProof/>
          </w:rPr>
          <w:fldChar w:fldCharType="end"/>
        </w:r>
      </w:p>
    </w:sdtContent>
  </w:sdt>
  <w:p w:rsidR="005C7D98" w:rsidRDefault="005C7D9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972E3" w:rsidRDefault="004972E3">
      <w:pPr>
        <w:spacing w:after="0" w:line="240" w:lineRule="auto"/>
      </w:pPr>
      <w:r>
        <w:rPr>
          <w:color w:val="000000"/>
        </w:rPr>
        <w:separator/>
      </w:r>
    </w:p>
  </w:footnote>
  <w:footnote w:type="continuationSeparator" w:id="0">
    <w:p w:rsidR="004972E3" w:rsidRDefault="004972E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F751D"/>
    <w:multiLevelType w:val="hybridMultilevel"/>
    <w:tmpl w:val="43C4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CD1D28"/>
    <w:multiLevelType w:val="hybridMultilevel"/>
    <w:tmpl w:val="80AA7A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5F3440"/>
    <w:multiLevelType w:val="hybridMultilevel"/>
    <w:tmpl w:val="71040A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B14163"/>
    <w:multiLevelType w:val="hybridMultilevel"/>
    <w:tmpl w:val="56F449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99E7C75"/>
    <w:multiLevelType w:val="hybridMultilevel"/>
    <w:tmpl w:val="D52EE1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9FD3B93"/>
    <w:multiLevelType w:val="hybridMultilevel"/>
    <w:tmpl w:val="908CD59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4745"/>
    <w:rsid w:val="00055A28"/>
    <w:rsid w:val="00055C72"/>
    <w:rsid w:val="00115A3E"/>
    <w:rsid w:val="001C48B9"/>
    <w:rsid w:val="00285FC2"/>
    <w:rsid w:val="00291B91"/>
    <w:rsid w:val="004254E7"/>
    <w:rsid w:val="00463455"/>
    <w:rsid w:val="004972E3"/>
    <w:rsid w:val="00530BE3"/>
    <w:rsid w:val="00544745"/>
    <w:rsid w:val="0058434E"/>
    <w:rsid w:val="005C7D98"/>
    <w:rsid w:val="00BA3F65"/>
    <w:rsid w:val="00BB6022"/>
    <w:rsid w:val="00C75F21"/>
    <w:rsid w:val="00CE66F6"/>
    <w:rsid w:val="00D85B3E"/>
    <w:rsid w:val="00E6627B"/>
    <w:rsid w:val="00FE35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2EBC53-897B-4DF2-A4BE-9D7C916708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75F21"/>
    <w:rPr>
      <w:color w:val="0000FF"/>
      <w:u w:val="single"/>
    </w:rPr>
  </w:style>
  <w:style w:type="paragraph" w:styleId="ListParagraph">
    <w:name w:val="List Paragraph"/>
    <w:basedOn w:val="Normal"/>
    <w:qFormat/>
    <w:rsid w:val="00C75F21"/>
    <w:pPr>
      <w:suppressAutoHyphens w:val="0"/>
      <w:autoSpaceDN/>
      <w:ind w:left="720"/>
      <w:contextualSpacing/>
      <w:textAlignment w:val="auto"/>
    </w:pPr>
  </w:style>
  <w:style w:type="paragraph" w:styleId="BalloonText">
    <w:name w:val="Balloon Text"/>
    <w:basedOn w:val="Normal"/>
    <w:link w:val="BalloonTextChar"/>
    <w:uiPriority w:val="99"/>
    <w:semiHidden/>
    <w:unhideWhenUsed/>
    <w:rsid w:val="004972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72E3"/>
    <w:rPr>
      <w:rFonts w:ascii="Tahoma" w:hAnsi="Tahoma" w:cs="Tahoma"/>
      <w:sz w:val="16"/>
      <w:szCs w:val="16"/>
    </w:rPr>
  </w:style>
  <w:style w:type="paragraph" w:styleId="Header">
    <w:name w:val="header"/>
    <w:basedOn w:val="Normal"/>
    <w:link w:val="HeaderChar"/>
    <w:uiPriority w:val="99"/>
    <w:unhideWhenUsed/>
    <w:rsid w:val="005C7D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7D98"/>
  </w:style>
  <w:style w:type="paragraph" w:styleId="Footer">
    <w:name w:val="footer"/>
    <w:basedOn w:val="Normal"/>
    <w:link w:val="FooterChar"/>
    <w:uiPriority w:val="99"/>
    <w:unhideWhenUsed/>
    <w:rsid w:val="005C7D9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7D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72327472</Template>
  <TotalTime>4</TotalTime>
  <Pages>3</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dc:creator>
  <cp:lastModifiedBy>hopea40</cp:lastModifiedBy>
  <cp:revision>3</cp:revision>
  <cp:lastPrinted>2017-04-20T08:47:00Z</cp:lastPrinted>
  <dcterms:created xsi:type="dcterms:W3CDTF">2017-04-19T13:53:00Z</dcterms:created>
  <dcterms:modified xsi:type="dcterms:W3CDTF">2017-04-20T08:47:00Z</dcterms:modified>
</cp:coreProperties>
</file>